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5C4A">
      <w:pPr>
        <w:spacing w:after="0" w:line="480" w:lineRule="exact"/>
        <w:jc w:val="center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竞争性谈判邀请书</w:t>
      </w:r>
    </w:p>
    <w:p w14:paraId="3743F9CA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一、编号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JGJS-JY-GCZB-2025-01-028</w:t>
      </w:r>
    </w:p>
    <w:p w14:paraId="4D90852D">
      <w:p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二、项目名称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：济南济钢防务空天产业基地二期一步A（EPC）项目（Ⅱ）之室外管网主材采购</w:t>
      </w:r>
    </w:p>
    <w:p w14:paraId="78B05E7F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三、项目说明及建设范围:</w:t>
      </w:r>
    </w:p>
    <w:p w14:paraId="0ED2F6CB"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1.项目名称：济南济钢防务空天产业基地二期一步A（EPC）项目（Ⅱ）之室外管网主材采购</w:t>
      </w:r>
    </w:p>
    <w:p w14:paraId="08F3F7D7"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2.采购明细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</w:p>
    <w:tbl>
      <w:tblPr>
        <w:tblStyle w:val="4"/>
        <w:tblpPr w:leftFromText="180" w:rightFromText="180" w:vertAnchor="text" w:horzAnchor="page" w:tblpXSpec="center" w:tblpY="491"/>
        <w:tblOverlap w:val="never"/>
        <w:tblW w:w="9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046"/>
        <w:gridCol w:w="1263"/>
        <w:gridCol w:w="987"/>
        <w:gridCol w:w="950"/>
        <w:gridCol w:w="438"/>
        <w:gridCol w:w="1876"/>
      </w:tblGrid>
      <w:tr w14:paraId="0FE7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产品执行标准</w:t>
            </w:r>
          </w:p>
        </w:tc>
      </w:tr>
      <w:tr w14:paraId="54F5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7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8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C3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54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55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BC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GB/T3091-2015</w:t>
            </w:r>
          </w:p>
        </w:tc>
      </w:tr>
      <w:tr w14:paraId="5486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6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04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8A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1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8A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2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7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GB/T3091-2015</w:t>
            </w:r>
          </w:p>
        </w:tc>
      </w:tr>
      <w:tr w14:paraId="53E2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99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0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PE,DN150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A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86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1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56B8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7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E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CF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PE,DN100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72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0F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69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4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34A5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1F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D5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F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PE,DN50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1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0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3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EF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0CD3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B3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74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钢丝网骨架塑料复合管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71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5E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1B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8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GB/T1899.1-2020</w:t>
            </w:r>
          </w:p>
        </w:tc>
      </w:tr>
      <w:tr w14:paraId="2437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0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D3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钢丝网骨架塑料复合管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00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90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707.2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E6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4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GB/T1899.1-2020</w:t>
            </w:r>
          </w:p>
        </w:tc>
      </w:tr>
      <w:tr w14:paraId="645D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0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262.1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E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F2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GB/T3091-2015</w:t>
            </w:r>
          </w:p>
        </w:tc>
      </w:tr>
      <w:tr w14:paraId="6EE6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35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9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22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4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A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GB/T3091-2015</w:t>
            </w:r>
          </w:p>
        </w:tc>
      </w:tr>
      <w:tr w14:paraId="7204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1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高密度聚乙烯(HDPE)双壁波纹管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6A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A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0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0DC1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60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高密度聚乙烯(HDPE)双壁波纹管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FD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7B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2D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6E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4CFE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2D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高密度聚乙烯(HDPE)双壁波纹管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6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F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C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4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1252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C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高密度聚乙烯(HDPE)双壁波纹管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8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23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5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49CC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67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高密度聚乙烯(HDPE)双壁波纹管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7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CE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C8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GB/T13663-2018</w:t>
            </w:r>
          </w:p>
        </w:tc>
      </w:tr>
      <w:tr w14:paraId="340D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D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5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PPR,DN63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B1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F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54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CF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GB/T18742.1-2017</w:t>
            </w:r>
          </w:p>
        </w:tc>
      </w:tr>
      <w:tr w14:paraId="7B4E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9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9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91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PPR,DN50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4B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3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0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2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GB/T18742.1-2017</w:t>
            </w:r>
          </w:p>
        </w:tc>
      </w:tr>
      <w:tr w14:paraId="17CC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F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9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11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UPVC,DN100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3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1B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25.60 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2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7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GB/T5836.1-2018</w:t>
            </w:r>
          </w:p>
        </w:tc>
      </w:tr>
    </w:tbl>
    <w:p w14:paraId="72C21F38">
      <w:pPr>
        <w:spacing w:after="0" w:line="48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以上产品单价及合价均为含增值税 13% 价格，如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遇国家税率调整，税率及时进行调整，不含税价格不变。</w:t>
      </w:r>
    </w:p>
    <w:p w14:paraId="33837F05">
      <w:pPr>
        <w:spacing w:after="0" w:line="48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.供货期：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满足采购人规定时间内的用货要求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 w14:paraId="5F0FA452">
      <w:p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四、供应商资格要求：</w:t>
      </w:r>
    </w:p>
    <w:p w14:paraId="227F333D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在中国境内注册并具有独立法人资格的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一般纳税人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合法企业单位。</w:t>
      </w:r>
    </w:p>
    <w:p w14:paraId="4B4C2D9C">
      <w:p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供货要求：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 w:eastAsia="zh-CN"/>
        </w:rPr>
        <w:t>供应商需具有生产或销售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金属材料、建筑材料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 w:eastAsia="zh-CN"/>
        </w:rPr>
        <w:t>的生产厂家或贸易企业，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供应的全部货物必须提供实验证明、质量证明、检测证明等在内的全部资料。</w:t>
      </w:r>
    </w:p>
    <w:p w14:paraId="69EDB50C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.供应商在人员、设备、资金等方面具有相应的技术能力和良好的财务能力，具有良好的银行资信和商业信誉及健全的财务会计制度，没有处于被责令停业、资产被重组、接管、冻结及破产状态。</w:t>
      </w:r>
    </w:p>
    <w:p w14:paraId="36FE1E91">
      <w:pPr>
        <w:spacing w:after="0" w:line="48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4.供应商应具有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履行合同必需的设备、专业技术、资质能力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366EF87E">
      <w:pPr>
        <w:autoSpaceDE w:val="0"/>
        <w:autoSpaceDN w:val="0"/>
        <w:adjustRightInd w:val="0"/>
        <w:spacing w:after="0" w:line="48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5.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有依法缴纳税收和社会保障金的良好纪录</w:t>
      </w:r>
    </w:p>
    <w:p w14:paraId="3F676A8C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企业业绩：近三年完成过类似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制作供应1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个及以上的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业绩（以投标人签订合同或中标通知书等证明材料日期为准）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302E3883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.本项目不接受联合体投标。</w:t>
      </w:r>
    </w:p>
    <w:p w14:paraId="2F03A169"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在经营活动中没有违法记录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。</w:t>
      </w:r>
    </w:p>
    <w:p w14:paraId="2A76D183"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单位负责人为同一人或者存在控股、管理关系的不同单位，或同一母公司的子公司，不能同时参加谈判。</w:t>
      </w:r>
    </w:p>
    <w:p w14:paraId="4AF353D5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zh-CN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谈判文件获取:</w:t>
      </w:r>
    </w:p>
    <w:p w14:paraId="2F50E656">
      <w:pPr>
        <w:spacing w:after="0" w:line="480" w:lineRule="exact"/>
        <w:ind w:firstLine="840" w:firstLineChars="300"/>
        <w:rPr>
          <w:rFonts w:hint="eastAsia"/>
          <w:color w:val="auto"/>
          <w:lang w:val="zh-CN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登录</w:t>
      </w:r>
      <w:r>
        <w:rPr>
          <w:rFonts w:hint="eastAsia" w:ascii="仿宋_GB2312" w:hAnsi="仿宋" w:eastAsia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" w:eastAsia="仿宋_GB2312"/>
          <w:color w:val="auto"/>
          <w:sz w:val="28"/>
          <w:szCs w:val="28"/>
        </w:rPr>
        <w:instrText xml:space="preserve"> HYPERLINK "http://www.jigang.com.cn-</w:instrText>
      </w:r>
      <w:r>
        <w:rPr>
          <w:rFonts w:hint="eastAsia" w:ascii="仿宋_GB2312" w:hAnsi="仿宋" w:eastAsia="仿宋_GB2312"/>
          <w:color w:val="auto"/>
          <w:sz w:val="28"/>
          <w:szCs w:val="28"/>
          <w:lang w:val="zh-CN"/>
        </w:rPr>
        <w:instrText xml:space="preserve">济钢阳光购销管理平台或</w:instrText>
      </w:r>
      <w:r>
        <w:rPr>
          <w:rFonts w:hint="eastAsia" w:ascii="仿宋_GB2312" w:hAnsi="仿宋" w:eastAsia="仿宋_GB2312"/>
          <w:color w:val="auto"/>
          <w:sz w:val="28"/>
          <w:szCs w:val="28"/>
        </w:rPr>
        <w:instrText xml:space="preserve">bidding.jigang.com.cn" </w:instrText>
      </w:r>
      <w:r>
        <w:rPr>
          <w:rFonts w:hint="eastAsia" w:ascii="仿宋_GB2312" w:hAnsi="仿宋" w:eastAsia="仿宋_GB2312"/>
          <w:color w:val="auto"/>
          <w:sz w:val="28"/>
          <w:szCs w:val="28"/>
          <w:lang w:val="zh-CN"/>
        </w:rPr>
        <w:fldChar w:fldCharType="separate"/>
      </w:r>
      <w:r>
        <w:rPr>
          <w:rFonts w:hint="eastAsia" w:ascii="仿宋_GB2312" w:hAnsi="仿宋" w:eastAsia="仿宋_GB2312"/>
          <w:color w:val="auto"/>
          <w:sz w:val="28"/>
          <w:szCs w:val="28"/>
        </w:rPr>
        <w:t>www.jigang.com.cn-</w:t>
      </w:r>
      <w:r>
        <w:rPr>
          <w:rFonts w:hint="eastAsia" w:ascii="仿宋_GB2312" w:hAnsi="仿宋" w:eastAsia="仿宋_GB2312"/>
          <w:color w:val="auto"/>
          <w:sz w:val="28"/>
          <w:szCs w:val="28"/>
          <w:lang w:val="zh-CN"/>
        </w:rPr>
        <w:t>济钢阳光购销管理平台或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bidding.jigang.com.cn</w:t>
      </w:r>
      <w:r>
        <w:rPr>
          <w:rFonts w:hint="eastAsia" w:ascii="仿宋_GB2312" w:hAnsi="仿宋" w:eastAsia="仿宋_GB2312"/>
          <w:color w:val="auto"/>
          <w:sz w:val="28"/>
          <w:szCs w:val="28"/>
          <w:lang w:val="zh-CN"/>
        </w:rPr>
        <w:fldChar w:fldCharType="end"/>
      </w:r>
      <w:r>
        <w:rPr>
          <w:rFonts w:hint="eastAsia" w:ascii="仿宋_GB2312" w:hAnsi="仿宋" w:eastAsia="仿宋_GB2312"/>
          <w:color w:val="auto"/>
          <w:sz w:val="28"/>
          <w:szCs w:val="28"/>
          <w:lang w:val="zh-CN"/>
        </w:rPr>
        <w:t>网上报名。使用指</w:t>
      </w:r>
      <w:r>
        <w:rPr>
          <w:rFonts w:hint="eastAsia" w:ascii="仿宋_GB2312" w:eastAsia="仿宋_GB2312"/>
          <w:color w:val="auto"/>
          <w:sz w:val="28"/>
          <w:szCs w:val="28"/>
        </w:rPr>
        <w:t>南可在网站首页“帮助中心”下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载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响应单位通过济钢集团阳光购销平台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报名后自行下载谈判文件。</w:t>
      </w:r>
    </w:p>
    <w:p w14:paraId="2F380AA5">
      <w:pPr>
        <w:numPr>
          <w:ilvl w:val="0"/>
          <w:numId w:val="1"/>
        </w:numPr>
        <w:spacing w:after="0" w:line="480" w:lineRule="exact"/>
        <w:ind w:firstLine="562" w:firstLineChars="200"/>
        <w:rPr>
          <w:rFonts w:hint="eastAsia" w:ascii="仿宋_GB2312" w:hAnsi="宋体" w:eastAsia="仿宋_GB2312" w:cs="Arial Unicode MS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 Unicode MS"/>
          <w:b/>
          <w:bCs/>
          <w:color w:val="auto"/>
          <w:sz w:val="28"/>
          <w:szCs w:val="28"/>
          <w:lang w:eastAsia="zh-CN"/>
        </w:rPr>
        <w:t>投标保证金：无</w:t>
      </w:r>
    </w:p>
    <w:p w14:paraId="785F8DA8">
      <w:p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谈判控制价</w:t>
      </w:r>
    </w:p>
    <w:p w14:paraId="71399172">
      <w:pPr>
        <w:spacing w:after="0" w:line="480" w:lineRule="exact"/>
        <w:ind w:firstLine="1120" w:firstLineChars="4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详见谈判文件“供应商须知前附表”，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投标报价总价不得超出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人设定的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控制价总价，否则视为无效报价，不参与评审。</w:t>
      </w:r>
    </w:p>
    <w:p w14:paraId="22869F81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、响应文件的递交</w:t>
      </w:r>
    </w:p>
    <w:p w14:paraId="51FBA850">
      <w:pPr>
        <w:spacing w:after="0" w:line="480" w:lineRule="exact"/>
        <w:ind w:firstLine="560" w:firstLineChars="200"/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instrText xml:space="preserve"> HYPERLINK "mailto:1、响应文件pdf电子版加密在谈判前一天发送至招标人指定邮箱（3205342477@qq.com)，纸质版响应文件线上招标后邮寄。递交的截止时间（投标截止时间，下同）为2024年4月8日10时0分。"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1、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按采购人要求制定谈判文件，若谈判人制定的谈判文件不符合采购人要求，采购人有权拒绝其参与竞争性谈判。</w:t>
      </w:r>
    </w:p>
    <w:p w14:paraId="3BD40966">
      <w:pPr>
        <w:spacing w:after="0" w:line="480" w:lineRule="exact"/>
        <w:ind w:left="559" w:leftChars="254" w:firstLine="0" w:firstLineChars="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响应文件递交的截止时间（投标截止时间，下同）为202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7月23日9时00分前</w:t>
      </w:r>
      <w:r>
        <w:rPr>
          <w:rStyle w:val="6"/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fldChar w:fldCharType="end"/>
      </w:r>
    </w:p>
    <w:p w14:paraId="1B99D046">
      <w:pPr>
        <w:numPr>
          <w:ilvl w:val="0"/>
          <w:numId w:val="0"/>
        </w:num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 w:eastAsia="zh-CN"/>
        </w:rPr>
        <w:t>逾期送达的、未送达指定地点的或者不按照要求密封的响应文件，招标人将予以拒收。</w:t>
      </w:r>
    </w:p>
    <w:p w14:paraId="54B28F96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九、谈判时间及地点</w:t>
      </w:r>
    </w:p>
    <w:p w14:paraId="0E6941E7">
      <w:pPr>
        <w:autoSpaceDE w:val="0"/>
        <w:autoSpaceDN w:val="0"/>
        <w:adjustRightInd w:val="0"/>
        <w:spacing w:after="0" w:line="48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谈判公告期2025年7月15日至7月22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结束，谈判时间为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月23日9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时00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分。</w:t>
      </w:r>
    </w:p>
    <w:p w14:paraId="4B9EE3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济钢集团山东建设公司工程有限公司三楼招标室。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济南市历城区工业北路14980号）</w:t>
      </w:r>
    </w:p>
    <w:p w14:paraId="31D9EF5C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十、联系方式</w:t>
      </w:r>
    </w:p>
    <w:p w14:paraId="58AFE414">
      <w:pPr>
        <w:autoSpaceDE w:val="0"/>
        <w:autoSpaceDN w:val="0"/>
        <w:adjustRightInd w:val="0"/>
        <w:spacing w:after="0" w:line="480" w:lineRule="exact"/>
        <w:ind w:firstLine="772" w:firstLineChars="276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1.谈判联系人：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侯先生  13188936021</w:t>
      </w:r>
    </w:p>
    <w:p w14:paraId="127B7C46">
      <w:pPr>
        <w:autoSpaceDE w:val="0"/>
        <w:autoSpaceDN w:val="0"/>
        <w:adjustRightInd w:val="0"/>
        <w:spacing w:after="0" w:line="480" w:lineRule="exact"/>
        <w:ind w:firstLine="772" w:firstLineChars="276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2.业务联系人：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孙先生  15244181838</w:t>
      </w:r>
    </w:p>
    <w:p w14:paraId="2A7E4741">
      <w:pPr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十一、公告中的谈判内容和其他要求以最终的竞争性谈判文件为准。</w:t>
      </w:r>
    </w:p>
    <w:p w14:paraId="722ACF42"/>
    <w:sectPr>
      <w:pgSz w:w="11906" w:h="16838"/>
      <w:pgMar w:top="1304" w:right="1463" w:bottom="1304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A1E4B"/>
    <w:multiLevelType w:val="singleLevel"/>
    <w:tmpl w:val="141A1E4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92DF1"/>
    <w:rsid w:val="20B94283"/>
    <w:rsid w:val="29261C44"/>
    <w:rsid w:val="3AC06885"/>
    <w:rsid w:val="3CCA3949"/>
    <w:rsid w:val="47BE7426"/>
    <w:rsid w:val="49731D60"/>
    <w:rsid w:val="4A657409"/>
    <w:rsid w:val="50087D88"/>
    <w:rsid w:val="51A14E1E"/>
    <w:rsid w:val="5E45088B"/>
    <w:rsid w:val="60B67FF9"/>
    <w:rsid w:val="742D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100" w:beforeAutospacing="1" w:after="120" w:line="276" w:lineRule="auto"/>
      <w:ind w:firstLine="210"/>
      <w:jc w:val="both"/>
    </w:pPr>
    <w:rPr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宋体"/>
      <w:sz w:val="30"/>
    </w:rPr>
  </w:style>
  <w:style w:type="character" w:styleId="6">
    <w:name w:val="Hyperlink"/>
    <w:qFormat/>
    <w:uiPriority w:val="99"/>
    <w:rPr>
      <w:rFonts w:ascii="ˎ̥" w:hAnsi="ˎ̥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1773</Characters>
  <Lines>0</Lines>
  <Paragraphs>0</Paragraphs>
  <TotalTime>8</TotalTime>
  <ScaleCrop>false</ScaleCrop>
  <LinksUpToDate>false</LinksUpToDate>
  <CharactersWithSpaces>1791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2025-05-06T02:48:00Z</dcterms:created>
  <dc:creator>Administrator</dc:creator>
  <cp:lastModifiedBy>汉风唐月</cp:lastModifiedBy>
  <dcterms:modified xsi:type="dcterms:W3CDTF">2025-07-15T04:01:55Z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117EF623CE4F40E9B5EFE47F0D559239</vt:lpwstr>
  </property>
  <property fmtid="{D5CDD505-2E9C-101B-9397-08002B2CF9AE}" pid="4" name="KSOTemplateDocerSaveRecord">
    <vt:lpwstr>eyJoZGlkIjoiMTA1YzdmMWZjZTkxYjAwNjU3Y2IyMzU0Yjg1MTE2M2EiLCJ1c2VySWQiOiI0MDc2OTk3OTYifQ==</vt:lpwstr>
  </property>
</Properties>
</file>